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682B" w:rsidRPr="0012682B" w:rsidRDefault="0012682B" w:rsidP="0012682B">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12682B">
        <w:rPr>
          <w:rFonts w:ascii="Times New Roman" w:eastAsia="Times New Roman" w:hAnsi="Times New Roman" w:cs="Times New Roman"/>
          <w:b/>
          <w:bCs/>
          <w:sz w:val="36"/>
          <w:szCs w:val="36"/>
          <w:lang w:eastAsia="fr-FR"/>
        </w:rPr>
        <w:t>Questions ouvertes pour vérifier la compréhension</w:t>
      </w:r>
    </w:p>
    <w:p w:rsidR="0012682B" w:rsidRPr="0012682B" w:rsidRDefault="0012682B" w:rsidP="0012682B">
      <w:pPr>
        <w:numPr>
          <w:ilvl w:val="0"/>
          <w:numId w:val="40"/>
        </w:numPr>
        <w:spacing w:before="100" w:beforeAutospacing="1" w:after="100" w:afterAutospacing="1" w:line="240" w:lineRule="auto"/>
        <w:rPr>
          <w:rFonts w:ascii="Times New Roman" w:eastAsia="Times New Roman" w:hAnsi="Times New Roman" w:cs="Times New Roman"/>
          <w:sz w:val="24"/>
          <w:szCs w:val="24"/>
          <w:lang w:eastAsia="fr-FR"/>
        </w:rPr>
      </w:pPr>
      <w:r w:rsidRPr="0012682B">
        <w:rPr>
          <w:rFonts w:ascii="Times New Roman" w:eastAsia="Times New Roman" w:hAnsi="Times New Roman" w:cs="Times New Roman"/>
          <w:sz w:val="24"/>
          <w:szCs w:val="24"/>
          <w:lang w:eastAsia="fr-FR"/>
        </w:rPr>
        <w:t xml:space="preserve">Pourquoi est-il important d’intégrer le </w:t>
      </w:r>
      <w:proofErr w:type="spellStart"/>
      <w:r w:rsidRPr="0012682B">
        <w:rPr>
          <w:rFonts w:ascii="Times New Roman" w:eastAsia="Times New Roman" w:hAnsi="Times New Roman" w:cs="Times New Roman"/>
          <w:sz w:val="24"/>
          <w:szCs w:val="24"/>
          <w:lang w:eastAsia="fr-FR"/>
        </w:rPr>
        <w:t>reporting</w:t>
      </w:r>
      <w:proofErr w:type="spellEnd"/>
      <w:r w:rsidRPr="0012682B">
        <w:rPr>
          <w:rFonts w:ascii="Times New Roman" w:eastAsia="Times New Roman" w:hAnsi="Times New Roman" w:cs="Times New Roman"/>
          <w:sz w:val="24"/>
          <w:szCs w:val="24"/>
          <w:lang w:eastAsia="fr-FR"/>
        </w:rPr>
        <w:t xml:space="preserve"> dans la routine de l’officine pour pérenniser le suivi ?</w:t>
      </w:r>
    </w:p>
    <w:p w:rsidR="0012682B" w:rsidRPr="0012682B" w:rsidRDefault="0012682B" w:rsidP="0012682B">
      <w:pPr>
        <w:numPr>
          <w:ilvl w:val="0"/>
          <w:numId w:val="40"/>
        </w:numPr>
        <w:spacing w:before="100" w:beforeAutospacing="1" w:after="100" w:afterAutospacing="1" w:line="240" w:lineRule="auto"/>
        <w:rPr>
          <w:rFonts w:ascii="Times New Roman" w:eastAsia="Times New Roman" w:hAnsi="Times New Roman" w:cs="Times New Roman"/>
          <w:sz w:val="24"/>
          <w:szCs w:val="24"/>
          <w:lang w:eastAsia="fr-FR"/>
        </w:rPr>
      </w:pPr>
      <w:r w:rsidRPr="0012682B">
        <w:rPr>
          <w:rFonts w:ascii="Times New Roman" w:eastAsia="Times New Roman" w:hAnsi="Times New Roman" w:cs="Times New Roman"/>
          <w:sz w:val="24"/>
          <w:szCs w:val="24"/>
          <w:lang w:eastAsia="fr-FR"/>
        </w:rPr>
        <w:t>Comment rendre un système de suivi « vivant » et adapté aux besoins de l’officine ?</w:t>
      </w:r>
    </w:p>
    <w:p w:rsidR="0012682B" w:rsidRPr="0012682B" w:rsidRDefault="0012682B" w:rsidP="0012682B">
      <w:pPr>
        <w:numPr>
          <w:ilvl w:val="0"/>
          <w:numId w:val="40"/>
        </w:numPr>
        <w:spacing w:before="100" w:beforeAutospacing="1" w:after="100" w:afterAutospacing="1" w:line="240" w:lineRule="auto"/>
        <w:rPr>
          <w:rFonts w:ascii="Times New Roman" w:eastAsia="Times New Roman" w:hAnsi="Times New Roman" w:cs="Times New Roman"/>
          <w:sz w:val="24"/>
          <w:szCs w:val="24"/>
          <w:lang w:eastAsia="fr-FR"/>
        </w:rPr>
      </w:pPr>
      <w:r w:rsidRPr="0012682B">
        <w:rPr>
          <w:rFonts w:ascii="Times New Roman" w:eastAsia="Times New Roman" w:hAnsi="Times New Roman" w:cs="Times New Roman"/>
          <w:sz w:val="24"/>
          <w:szCs w:val="24"/>
          <w:lang w:eastAsia="fr-FR"/>
        </w:rPr>
        <w:t>Quels sont les trois axes essentiels qui font du suivi un pilier managérial et de performance pour l’officine ?</w:t>
      </w:r>
    </w:p>
    <w:p w:rsidR="0012682B" w:rsidRPr="0012682B" w:rsidRDefault="0012682B" w:rsidP="0012682B">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12682B">
        <w:rPr>
          <w:rFonts w:ascii="Times New Roman" w:eastAsia="Times New Roman" w:hAnsi="Times New Roman" w:cs="Times New Roman"/>
          <w:b/>
          <w:bCs/>
          <w:sz w:val="36"/>
          <w:szCs w:val="36"/>
          <w:lang w:eastAsia="fr-FR"/>
        </w:rPr>
        <w:t>Quiz (QCM)</w:t>
      </w:r>
    </w:p>
    <w:p w:rsidR="0012682B" w:rsidRPr="0012682B" w:rsidRDefault="0012682B" w:rsidP="0012682B">
      <w:pPr>
        <w:spacing w:before="100" w:beforeAutospacing="1" w:after="100" w:afterAutospacing="1" w:line="240" w:lineRule="auto"/>
        <w:rPr>
          <w:rFonts w:ascii="Times New Roman" w:eastAsia="Times New Roman" w:hAnsi="Times New Roman" w:cs="Times New Roman"/>
          <w:sz w:val="24"/>
          <w:szCs w:val="24"/>
          <w:lang w:eastAsia="fr-FR"/>
        </w:rPr>
      </w:pPr>
      <w:r w:rsidRPr="0012682B">
        <w:rPr>
          <w:rFonts w:ascii="Times New Roman" w:eastAsia="Times New Roman" w:hAnsi="Times New Roman" w:cs="Times New Roman"/>
          <w:b/>
          <w:bCs/>
          <w:sz w:val="24"/>
          <w:szCs w:val="24"/>
          <w:lang w:eastAsia="fr-FR"/>
        </w:rPr>
        <w:t xml:space="preserve">QCM 1 – Intégration du </w:t>
      </w:r>
      <w:proofErr w:type="spellStart"/>
      <w:r w:rsidRPr="0012682B">
        <w:rPr>
          <w:rFonts w:ascii="Times New Roman" w:eastAsia="Times New Roman" w:hAnsi="Times New Roman" w:cs="Times New Roman"/>
          <w:b/>
          <w:bCs/>
          <w:sz w:val="24"/>
          <w:szCs w:val="24"/>
          <w:lang w:eastAsia="fr-FR"/>
        </w:rPr>
        <w:t>reporting</w:t>
      </w:r>
      <w:proofErr w:type="spellEnd"/>
      <w:r w:rsidRPr="0012682B">
        <w:rPr>
          <w:rFonts w:ascii="Times New Roman" w:eastAsia="Times New Roman" w:hAnsi="Times New Roman" w:cs="Times New Roman"/>
          <w:sz w:val="24"/>
          <w:szCs w:val="24"/>
          <w:lang w:eastAsia="fr-FR"/>
        </w:rPr>
        <w:br/>
        <w:t>Pour pérenniser le suivi, quelles pratiques sont recommandées ?</w:t>
      </w:r>
      <w:r w:rsidRPr="0012682B">
        <w:rPr>
          <w:rFonts w:ascii="Times New Roman" w:eastAsia="Times New Roman" w:hAnsi="Times New Roman" w:cs="Times New Roman"/>
          <w:sz w:val="24"/>
          <w:szCs w:val="24"/>
          <w:lang w:eastAsia="fr-FR"/>
        </w:rPr>
        <w:br/>
        <w:t>A. Points hebdomadaires de 10 minutes pour vérifier l’avancement des missions</w:t>
      </w:r>
      <w:r w:rsidRPr="0012682B">
        <w:rPr>
          <w:rFonts w:ascii="Times New Roman" w:eastAsia="Times New Roman" w:hAnsi="Times New Roman" w:cs="Times New Roman"/>
          <w:sz w:val="24"/>
          <w:szCs w:val="24"/>
          <w:lang w:eastAsia="fr-FR"/>
        </w:rPr>
        <w:br/>
        <w:t>B. Mise à jour systématique des outils après chaque action importante</w:t>
      </w:r>
      <w:r w:rsidRPr="0012682B">
        <w:rPr>
          <w:rFonts w:ascii="Times New Roman" w:eastAsia="Times New Roman" w:hAnsi="Times New Roman" w:cs="Times New Roman"/>
          <w:sz w:val="24"/>
          <w:szCs w:val="24"/>
          <w:lang w:eastAsia="fr-FR"/>
        </w:rPr>
        <w:br/>
        <w:t>C. Bilan trimestriel des résultats collectifs</w:t>
      </w:r>
      <w:r w:rsidRPr="0012682B">
        <w:rPr>
          <w:rFonts w:ascii="Times New Roman" w:eastAsia="Times New Roman" w:hAnsi="Times New Roman" w:cs="Times New Roman"/>
          <w:sz w:val="24"/>
          <w:szCs w:val="24"/>
          <w:lang w:eastAsia="fr-FR"/>
        </w:rPr>
        <w:br/>
        <w:t>D. Laisser le suivi au hasard, seulement quand des problèmes apparaissent</w:t>
      </w:r>
    </w:p>
    <w:p w:rsidR="0012682B" w:rsidRPr="0012682B" w:rsidRDefault="0012682B" w:rsidP="0012682B">
      <w:pPr>
        <w:spacing w:before="100" w:beforeAutospacing="1" w:after="100" w:afterAutospacing="1" w:line="240" w:lineRule="auto"/>
        <w:rPr>
          <w:rFonts w:ascii="Times New Roman" w:eastAsia="Times New Roman" w:hAnsi="Times New Roman" w:cs="Times New Roman"/>
          <w:sz w:val="24"/>
          <w:szCs w:val="24"/>
          <w:lang w:eastAsia="fr-FR"/>
        </w:rPr>
      </w:pPr>
      <w:r w:rsidRPr="0012682B">
        <w:rPr>
          <w:rFonts w:ascii="Times New Roman" w:eastAsia="Times New Roman" w:hAnsi="Times New Roman" w:cs="Times New Roman"/>
          <w:b/>
          <w:bCs/>
          <w:sz w:val="24"/>
          <w:szCs w:val="24"/>
          <w:lang w:eastAsia="fr-FR"/>
        </w:rPr>
        <w:t>QCM 2 – Suivi vivant et adaptable</w:t>
      </w:r>
      <w:r w:rsidRPr="0012682B">
        <w:rPr>
          <w:rFonts w:ascii="Times New Roman" w:eastAsia="Times New Roman" w:hAnsi="Times New Roman" w:cs="Times New Roman"/>
          <w:sz w:val="24"/>
          <w:szCs w:val="24"/>
          <w:lang w:eastAsia="fr-FR"/>
        </w:rPr>
        <w:br/>
        <w:t xml:space="preserve">Parmi les propositions suivantes, laquelle </w:t>
      </w:r>
      <w:r w:rsidRPr="0012682B">
        <w:rPr>
          <w:rFonts w:ascii="Times New Roman" w:eastAsia="Times New Roman" w:hAnsi="Times New Roman" w:cs="Times New Roman"/>
          <w:b/>
          <w:bCs/>
          <w:sz w:val="24"/>
          <w:szCs w:val="24"/>
          <w:lang w:eastAsia="fr-FR"/>
        </w:rPr>
        <w:t>illustre un suivi vivant et évolutif</w:t>
      </w:r>
      <w:r w:rsidRPr="0012682B">
        <w:rPr>
          <w:rFonts w:ascii="Times New Roman" w:eastAsia="Times New Roman" w:hAnsi="Times New Roman" w:cs="Times New Roman"/>
          <w:sz w:val="24"/>
          <w:szCs w:val="24"/>
          <w:lang w:eastAsia="fr-FR"/>
        </w:rPr>
        <w:t xml:space="preserve"> ?</w:t>
      </w:r>
      <w:r w:rsidRPr="0012682B">
        <w:rPr>
          <w:rFonts w:ascii="Times New Roman" w:eastAsia="Times New Roman" w:hAnsi="Times New Roman" w:cs="Times New Roman"/>
          <w:sz w:val="24"/>
          <w:szCs w:val="24"/>
          <w:lang w:eastAsia="fr-FR"/>
        </w:rPr>
        <w:br/>
        <w:t>A. Ajouter de nouvelles missions selon les priorités et projets</w:t>
      </w:r>
      <w:r w:rsidRPr="0012682B">
        <w:rPr>
          <w:rFonts w:ascii="Times New Roman" w:eastAsia="Times New Roman" w:hAnsi="Times New Roman" w:cs="Times New Roman"/>
          <w:sz w:val="24"/>
          <w:szCs w:val="24"/>
          <w:lang w:eastAsia="fr-FR"/>
        </w:rPr>
        <w:br/>
        <w:t>B. Maintenir toutes les missions initiales, même obsolètes</w:t>
      </w:r>
      <w:r w:rsidRPr="0012682B">
        <w:rPr>
          <w:rFonts w:ascii="Times New Roman" w:eastAsia="Times New Roman" w:hAnsi="Times New Roman" w:cs="Times New Roman"/>
          <w:sz w:val="24"/>
          <w:szCs w:val="24"/>
          <w:lang w:eastAsia="fr-FR"/>
        </w:rPr>
        <w:br/>
        <w:t>C. Ne jamais modifier les indicateurs pour rester cohérent</w:t>
      </w:r>
      <w:r w:rsidRPr="0012682B">
        <w:rPr>
          <w:rFonts w:ascii="Times New Roman" w:eastAsia="Times New Roman" w:hAnsi="Times New Roman" w:cs="Times New Roman"/>
          <w:sz w:val="24"/>
          <w:szCs w:val="24"/>
          <w:lang w:eastAsia="fr-FR"/>
        </w:rPr>
        <w:br/>
        <w:t xml:space="preserve">D. Supprimer le </w:t>
      </w:r>
      <w:proofErr w:type="spellStart"/>
      <w:r w:rsidRPr="0012682B">
        <w:rPr>
          <w:rFonts w:ascii="Times New Roman" w:eastAsia="Times New Roman" w:hAnsi="Times New Roman" w:cs="Times New Roman"/>
          <w:sz w:val="24"/>
          <w:szCs w:val="24"/>
          <w:lang w:eastAsia="fr-FR"/>
        </w:rPr>
        <w:t>reporting</w:t>
      </w:r>
      <w:proofErr w:type="spellEnd"/>
      <w:r w:rsidRPr="0012682B">
        <w:rPr>
          <w:rFonts w:ascii="Times New Roman" w:eastAsia="Times New Roman" w:hAnsi="Times New Roman" w:cs="Times New Roman"/>
          <w:sz w:val="24"/>
          <w:szCs w:val="24"/>
          <w:lang w:eastAsia="fr-FR"/>
        </w:rPr>
        <w:t xml:space="preserve"> pour alléger le travail</w:t>
      </w:r>
    </w:p>
    <w:p w:rsidR="0012682B" w:rsidRPr="0012682B" w:rsidRDefault="0012682B" w:rsidP="0012682B">
      <w:pPr>
        <w:spacing w:before="100" w:beforeAutospacing="1" w:after="100" w:afterAutospacing="1" w:line="240" w:lineRule="auto"/>
        <w:rPr>
          <w:rFonts w:ascii="Times New Roman" w:eastAsia="Times New Roman" w:hAnsi="Times New Roman" w:cs="Times New Roman"/>
          <w:sz w:val="24"/>
          <w:szCs w:val="24"/>
          <w:lang w:eastAsia="fr-FR"/>
        </w:rPr>
      </w:pPr>
      <w:r w:rsidRPr="0012682B">
        <w:rPr>
          <w:rFonts w:ascii="Times New Roman" w:eastAsia="Times New Roman" w:hAnsi="Times New Roman" w:cs="Times New Roman"/>
          <w:b/>
          <w:bCs/>
          <w:sz w:val="24"/>
          <w:szCs w:val="24"/>
          <w:lang w:eastAsia="fr-FR"/>
        </w:rPr>
        <w:t>QCM 3 – Axes essentiels du suivi</w:t>
      </w:r>
      <w:r w:rsidRPr="0012682B">
        <w:rPr>
          <w:rFonts w:ascii="Times New Roman" w:eastAsia="Times New Roman" w:hAnsi="Times New Roman" w:cs="Times New Roman"/>
          <w:sz w:val="24"/>
          <w:szCs w:val="24"/>
          <w:lang w:eastAsia="fr-FR"/>
        </w:rPr>
        <w:br/>
        <w:t>Le suivi devient un pilier managérial lorsqu’il repose sur :</w:t>
      </w:r>
      <w:r w:rsidRPr="0012682B">
        <w:rPr>
          <w:rFonts w:ascii="Times New Roman" w:eastAsia="Times New Roman" w:hAnsi="Times New Roman" w:cs="Times New Roman"/>
          <w:sz w:val="24"/>
          <w:szCs w:val="24"/>
          <w:lang w:eastAsia="fr-FR"/>
        </w:rPr>
        <w:br/>
        <w:t>A. La clarté, la transparence et la reconnaissance</w:t>
      </w:r>
      <w:r w:rsidRPr="0012682B">
        <w:rPr>
          <w:rFonts w:ascii="Times New Roman" w:eastAsia="Times New Roman" w:hAnsi="Times New Roman" w:cs="Times New Roman"/>
          <w:sz w:val="24"/>
          <w:szCs w:val="24"/>
          <w:lang w:eastAsia="fr-FR"/>
        </w:rPr>
        <w:br/>
        <w:t>B. La complexité, la surveillance et le contrôle strict</w:t>
      </w:r>
      <w:r w:rsidRPr="0012682B">
        <w:rPr>
          <w:rFonts w:ascii="Times New Roman" w:eastAsia="Times New Roman" w:hAnsi="Times New Roman" w:cs="Times New Roman"/>
          <w:sz w:val="24"/>
          <w:szCs w:val="24"/>
          <w:lang w:eastAsia="fr-FR"/>
        </w:rPr>
        <w:br/>
        <w:t>C. La quantité d’indicateurs et la fréquence des réunions</w:t>
      </w:r>
      <w:r w:rsidRPr="0012682B">
        <w:rPr>
          <w:rFonts w:ascii="Times New Roman" w:eastAsia="Times New Roman" w:hAnsi="Times New Roman" w:cs="Times New Roman"/>
          <w:sz w:val="24"/>
          <w:szCs w:val="24"/>
          <w:lang w:eastAsia="fr-FR"/>
        </w:rPr>
        <w:br/>
        <w:t>D. L’autonomie totale sans retour d’information</w:t>
      </w:r>
    </w:p>
    <w:p w:rsidR="0012682B" w:rsidRPr="0012682B" w:rsidRDefault="0012682B" w:rsidP="0012682B">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bookmarkStart w:id="0" w:name="_GoBack"/>
      <w:bookmarkEnd w:id="0"/>
      <w:r w:rsidRPr="0012682B">
        <w:rPr>
          <w:rFonts w:ascii="Times New Roman" w:eastAsia="Times New Roman" w:hAnsi="Times New Roman" w:cs="Times New Roman"/>
          <w:b/>
          <w:bCs/>
          <w:sz w:val="36"/>
          <w:szCs w:val="36"/>
          <w:lang w:eastAsia="fr-FR"/>
        </w:rPr>
        <w:t>Réponses et justifications</w:t>
      </w:r>
    </w:p>
    <w:p w:rsidR="0012682B" w:rsidRPr="0012682B" w:rsidRDefault="0012682B" w:rsidP="0012682B">
      <w:pPr>
        <w:spacing w:before="100" w:beforeAutospacing="1" w:after="100" w:afterAutospacing="1" w:line="240" w:lineRule="auto"/>
        <w:rPr>
          <w:rFonts w:ascii="Times New Roman" w:eastAsia="Times New Roman" w:hAnsi="Times New Roman" w:cs="Times New Roman"/>
          <w:sz w:val="24"/>
          <w:szCs w:val="24"/>
          <w:lang w:eastAsia="fr-FR"/>
        </w:rPr>
      </w:pPr>
      <w:r w:rsidRPr="0012682B">
        <w:rPr>
          <w:rFonts w:ascii="Times New Roman" w:eastAsia="Times New Roman" w:hAnsi="Times New Roman" w:cs="Times New Roman"/>
          <w:b/>
          <w:bCs/>
          <w:sz w:val="24"/>
          <w:szCs w:val="24"/>
          <w:lang w:eastAsia="fr-FR"/>
        </w:rPr>
        <w:t>Questions ouvertes :</w:t>
      </w:r>
    </w:p>
    <w:p w:rsidR="0012682B" w:rsidRPr="0012682B" w:rsidRDefault="0012682B" w:rsidP="0012682B">
      <w:pPr>
        <w:numPr>
          <w:ilvl w:val="0"/>
          <w:numId w:val="41"/>
        </w:numPr>
        <w:spacing w:before="100" w:beforeAutospacing="1" w:after="100" w:afterAutospacing="1" w:line="240" w:lineRule="auto"/>
        <w:rPr>
          <w:rFonts w:ascii="Times New Roman" w:eastAsia="Times New Roman" w:hAnsi="Times New Roman" w:cs="Times New Roman"/>
          <w:sz w:val="24"/>
          <w:szCs w:val="24"/>
          <w:lang w:eastAsia="fr-FR"/>
        </w:rPr>
      </w:pPr>
      <w:r w:rsidRPr="0012682B">
        <w:rPr>
          <w:rFonts w:ascii="Times New Roman" w:eastAsia="Times New Roman" w:hAnsi="Times New Roman" w:cs="Times New Roman"/>
          <w:b/>
          <w:bCs/>
          <w:sz w:val="24"/>
          <w:szCs w:val="24"/>
          <w:lang w:eastAsia="fr-FR"/>
        </w:rPr>
        <w:t>Réponse attendue</w:t>
      </w:r>
      <w:r w:rsidRPr="0012682B">
        <w:rPr>
          <w:rFonts w:ascii="Times New Roman" w:eastAsia="Times New Roman" w:hAnsi="Times New Roman" w:cs="Times New Roman"/>
          <w:sz w:val="24"/>
          <w:szCs w:val="24"/>
          <w:lang w:eastAsia="fr-FR"/>
        </w:rPr>
        <w:t xml:space="preserve"> : Intégrer le </w:t>
      </w:r>
      <w:proofErr w:type="spellStart"/>
      <w:r w:rsidRPr="0012682B">
        <w:rPr>
          <w:rFonts w:ascii="Times New Roman" w:eastAsia="Times New Roman" w:hAnsi="Times New Roman" w:cs="Times New Roman"/>
          <w:sz w:val="24"/>
          <w:szCs w:val="24"/>
          <w:lang w:eastAsia="fr-FR"/>
        </w:rPr>
        <w:t>reporting</w:t>
      </w:r>
      <w:proofErr w:type="spellEnd"/>
      <w:r w:rsidRPr="0012682B">
        <w:rPr>
          <w:rFonts w:ascii="Times New Roman" w:eastAsia="Times New Roman" w:hAnsi="Times New Roman" w:cs="Times New Roman"/>
          <w:sz w:val="24"/>
          <w:szCs w:val="24"/>
          <w:lang w:eastAsia="fr-FR"/>
        </w:rPr>
        <w:t xml:space="preserve"> dans la routine permet de créer des habitudes durables, d’assurer que les informations sont fiables, de sécuriser l’organisation, de détecter rapidement les problèmes et de célébrer les réussites. Cela transforme le suivi en culture managériale.</w:t>
      </w:r>
    </w:p>
    <w:p w:rsidR="0012682B" w:rsidRPr="0012682B" w:rsidRDefault="0012682B" w:rsidP="0012682B">
      <w:pPr>
        <w:numPr>
          <w:ilvl w:val="0"/>
          <w:numId w:val="41"/>
        </w:numPr>
        <w:spacing w:before="100" w:beforeAutospacing="1" w:after="100" w:afterAutospacing="1" w:line="240" w:lineRule="auto"/>
        <w:rPr>
          <w:rFonts w:ascii="Times New Roman" w:eastAsia="Times New Roman" w:hAnsi="Times New Roman" w:cs="Times New Roman"/>
          <w:sz w:val="24"/>
          <w:szCs w:val="24"/>
          <w:lang w:eastAsia="fr-FR"/>
        </w:rPr>
      </w:pPr>
      <w:r w:rsidRPr="0012682B">
        <w:rPr>
          <w:rFonts w:ascii="Times New Roman" w:eastAsia="Times New Roman" w:hAnsi="Times New Roman" w:cs="Times New Roman"/>
          <w:b/>
          <w:bCs/>
          <w:sz w:val="24"/>
          <w:szCs w:val="24"/>
          <w:lang w:eastAsia="fr-FR"/>
        </w:rPr>
        <w:t>Réponse attendue</w:t>
      </w:r>
      <w:r w:rsidRPr="0012682B">
        <w:rPr>
          <w:rFonts w:ascii="Times New Roman" w:eastAsia="Times New Roman" w:hAnsi="Times New Roman" w:cs="Times New Roman"/>
          <w:sz w:val="24"/>
          <w:szCs w:val="24"/>
          <w:lang w:eastAsia="fr-FR"/>
        </w:rPr>
        <w:t xml:space="preserve"> : Un suivi vivant s’adapte aux besoins de l’officine : ajouter de nouvelles missions, retirer celles devenues obsolètes, ajuster les indicateurs pour qu’ils reflètent la réalité et les objectifs actuels. Cela maintient l’attention sur l’essentiel et motive l’équipe.</w:t>
      </w:r>
    </w:p>
    <w:p w:rsidR="0012682B" w:rsidRPr="0012682B" w:rsidRDefault="0012682B" w:rsidP="0012682B">
      <w:pPr>
        <w:numPr>
          <w:ilvl w:val="0"/>
          <w:numId w:val="41"/>
        </w:numPr>
        <w:spacing w:before="100" w:beforeAutospacing="1" w:after="100" w:afterAutospacing="1" w:line="240" w:lineRule="auto"/>
        <w:rPr>
          <w:rFonts w:ascii="Times New Roman" w:eastAsia="Times New Roman" w:hAnsi="Times New Roman" w:cs="Times New Roman"/>
          <w:sz w:val="24"/>
          <w:szCs w:val="24"/>
          <w:lang w:eastAsia="fr-FR"/>
        </w:rPr>
      </w:pPr>
      <w:r w:rsidRPr="0012682B">
        <w:rPr>
          <w:rFonts w:ascii="Times New Roman" w:eastAsia="Times New Roman" w:hAnsi="Times New Roman" w:cs="Times New Roman"/>
          <w:b/>
          <w:bCs/>
          <w:sz w:val="24"/>
          <w:szCs w:val="24"/>
          <w:lang w:eastAsia="fr-FR"/>
        </w:rPr>
        <w:t>Réponse attendue</w:t>
      </w:r>
      <w:r w:rsidRPr="0012682B">
        <w:rPr>
          <w:rFonts w:ascii="Times New Roman" w:eastAsia="Times New Roman" w:hAnsi="Times New Roman" w:cs="Times New Roman"/>
          <w:sz w:val="24"/>
          <w:szCs w:val="24"/>
          <w:lang w:eastAsia="fr-FR"/>
        </w:rPr>
        <w:t xml:space="preserve"> : Les trois axes essentiels sont :</w:t>
      </w:r>
    </w:p>
    <w:p w:rsidR="0012682B" w:rsidRPr="0012682B" w:rsidRDefault="0012682B" w:rsidP="0012682B">
      <w:pPr>
        <w:numPr>
          <w:ilvl w:val="1"/>
          <w:numId w:val="41"/>
        </w:numPr>
        <w:spacing w:before="100" w:beforeAutospacing="1" w:after="100" w:afterAutospacing="1" w:line="240" w:lineRule="auto"/>
        <w:rPr>
          <w:rFonts w:ascii="Times New Roman" w:eastAsia="Times New Roman" w:hAnsi="Times New Roman" w:cs="Times New Roman"/>
          <w:sz w:val="24"/>
          <w:szCs w:val="24"/>
          <w:lang w:eastAsia="fr-FR"/>
        </w:rPr>
      </w:pPr>
      <w:r w:rsidRPr="0012682B">
        <w:rPr>
          <w:rFonts w:ascii="Times New Roman" w:eastAsia="Times New Roman" w:hAnsi="Times New Roman" w:cs="Times New Roman"/>
          <w:sz w:val="24"/>
          <w:szCs w:val="24"/>
          <w:lang w:eastAsia="fr-FR"/>
        </w:rPr>
        <w:t>Clarté : chacun sait ce qui est attendu et comment sa contribution s’inscrit dans la stratégie.</w:t>
      </w:r>
    </w:p>
    <w:p w:rsidR="0012682B" w:rsidRPr="0012682B" w:rsidRDefault="0012682B" w:rsidP="0012682B">
      <w:pPr>
        <w:numPr>
          <w:ilvl w:val="1"/>
          <w:numId w:val="41"/>
        </w:numPr>
        <w:spacing w:before="100" w:beforeAutospacing="1" w:after="100" w:afterAutospacing="1" w:line="240" w:lineRule="auto"/>
        <w:rPr>
          <w:rFonts w:ascii="Times New Roman" w:eastAsia="Times New Roman" w:hAnsi="Times New Roman" w:cs="Times New Roman"/>
          <w:sz w:val="24"/>
          <w:szCs w:val="24"/>
          <w:lang w:eastAsia="fr-FR"/>
        </w:rPr>
      </w:pPr>
      <w:r w:rsidRPr="0012682B">
        <w:rPr>
          <w:rFonts w:ascii="Times New Roman" w:eastAsia="Times New Roman" w:hAnsi="Times New Roman" w:cs="Times New Roman"/>
          <w:sz w:val="24"/>
          <w:szCs w:val="24"/>
          <w:lang w:eastAsia="fr-FR"/>
        </w:rPr>
        <w:t>Transparence : circulation libre des informations, visibilité des progrès et des difficultés.</w:t>
      </w:r>
    </w:p>
    <w:p w:rsidR="0012682B" w:rsidRPr="0012682B" w:rsidRDefault="0012682B" w:rsidP="0012682B">
      <w:pPr>
        <w:numPr>
          <w:ilvl w:val="1"/>
          <w:numId w:val="41"/>
        </w:numPr>
        <w:spacing w:before="100" w:beforeAutospacing="1" w:after="100" w:afterAutospacing="1" w:line="240" w:lineRule="auto"/>
        <w:rPr>
          <w:rFonts w:ascii="Times New Roman" w:eastAsia="Times New Roman" w:hAnsi="Times New Roman" w:cs="Times New Roman"/>
          <w:sz w:val="24"/>
          <w:szCs w:val="24"/>
          <w:lang w:eastAsia="fr-FR"/>
        </w:rPr>
      </w:pPr>
      <w:r w:rsidRPr="0012682B">
        <w:rPr>
          <w:rFonts w:ascii="Times New Roman" w:eastAsia="Times New Roman" w:hAnsi="Times New Roman" w:cs="Times New Roman"/>
          <w:sz w:val="24"/>
          <w:szCs w:val="24"/>
          <w:lang w:eastAsia="fr-FR"/>
        </w:rPr>
        <w:lastRenderedPageBreak/>
        <w:t>Reconnaissance : valoriser les réussites individuelles et collectives pour renforcer l’engagement.</w:t>
      </w:r>
    </w:p>
    <w:p w:rsidR="0012682B" w:rsidRPr="0012682B" w:rsidRDefault="0012682B" w:rsidP="0012682B">
      <w:pPr>
        <w:spacing w:before="100" w:beforeAutospacing="1" w:after="100" w:afterAutospacing="1" w:line="240" w:lineRule="auto"/>
        <w:rPr>
          <w:rFonts w:ascii="Times New Roman" w:eastAsia="Times New Roman" w:hAnsi="Times New Roman" w:cs="Times New Roman"/>
          <w:sz w:val="24"/>
          <w:szCs w:val="24"/>
          <w:lang w:eastAsia="fr-FR"/>
        </w:rPr>
      </w:pPr>
      <w:r w:rsidRPr="0012682B">
        <w:rPr>
          <w:rFonts w:ascii="Times New Roman" w:eastAsia="Times New Roman" w:hAnsi="Times New Roman" w:cs="Times New Roman"/>
          <w:b/>
          <w:bCs/>
          <w:sz w:val="24"/>
          <w:szCs w:val="24"/>
          <w:lang w:eastAsia="fr-FR"/>
        </w:rPr>
        <w:t>QCM :</w:t>
      </w:r>
    </w:p>
    <w:p w:rsidR="0012682B" w:rsidRPr="0012682B" w:rsidRDefault="0012682B" w:rsidP="0012682B">
      <w:pPr>
        <w:numPr>
          <w:ilvl w:val="0"/>
          <w:numId w:val="42"/>
        </w:numPr>
        <w:spacing w:before="100" w:beforeAutospacing="1" w:after="100" w:afterAutospacing="1" w:line="240" w:lineRule="auto"/>
        <w:rPr>
          <w:rFonts w:ascii="Times New Roman" w:eastAsia="Times New Roman" w:hAnsi="Times New Roman" w:cs="Times New Roman"/>
          <w:sz w:val="24"/>
          <w:szCs w:val="24"/>
          <w:lang w:eastAsia="fr-FR"/>
        </w:rPr>
      </w:pPr>
      <w:r w:rsidRPr="0012682B">
        <w:rPr>
          <w:rFonts w:ascii="Times New Roman" w:eastAsia="Times New Roman" w:hAnsi="Times New Roman" w:cs="Times New Roman"/>
          <w:b/>
          <w:bCs/>
          <w:sz w:val="24"/>
          <w:szCs w:val="24"/>
          <w:lang w:eastAsia="fr-FR"/>
        </w:rPr>
        <w:t>Réponse correcte : A, B et C</w:t>
      </w:r>
      <w:r w:rsidRPr="0012682B">
        <w:rPr>
          <w:rFonts w:ascii="Times New Roman" w:eastAsia="Times New Roman" w:hAnsi="Times New Roman" w:cs="Times New Roman"/>
          <w:sz w:val="24"/>
          <w:szCs w:val="24"/>
          <w:lang w:eastAsia="fr-FR"/>
        </w:rPr>
        <w:t xml:space="preserve"> – Le suivi pérenne nécessite des points réguliers, la mise à jour systématique des outils et des bilans collectifs. Laisser le suivi au hasard est contraire à la pérennisation.</w:t>
      </w:r>
    </w:p>
    <w:p w:rsidR="0012682B" w:rsidRPr="0012682B" w:rsidRDefault="0012682B" w:rsidP="0012682B">
      <w:pPr>
        <w:numPr>
          <w:ilvl w:val="0"/>
          <w:numId w:val="42"/>
        </w:numPr>
        <w:spacing w:before="100" w:beforeAutospacing="1" w:after="100" w:afterAutospacing="1" w:line="240" w:lineRule="auto"/>
        <w:rPr>
          <w:rFonts w:ascii="Times New Roman" w:eastAsia="Times New Roman" w:hAnsi="Times New Roman" w:cs="Times New Roman"/>
          <w:sz w:val="24"/>
          <w:szCs w:val="24"/>
          <w:lang w:eastAsia="fr-FR"/>
        </w:rPr>
      </w:pPr>
      <w:r w:rsidRPr="0012682B">
        <w:rPr>
          <w:rFonts w:ascii="Times New Roman" w:eastAsia="Times New Roman" w:hAnsi="Times New Roman" w:cs="Times New Roman"/>
          <w:b/>
          <w:bCs/>
          <w:sz w:val="24"/>
          <w:szCs w:val="24"/>
          <w:lang w:eastAsia="fr-FR"/>
        </w:rPr>
        <w:t>Réponse correcte : A</w:t>
      </w:r>
      <w:r w:rsidRPr="0012682B">
        <w:rPr>
          <w:rFonts w:ascii="Times New Roman" w:eastAsia="Times New Roman" w:hAnsi="Times New Roman" w:cs="Times New Roman"/>
          <w:sz w:val="24"/>
          <w:szCs w:val="24"/>
          <w:lang w:eastAsia="fr-FR"/>
        </w:rPr>
        <w:t xml:space="preserve"> – Un suivi vivant implique d’ajouter de nouvelles missions selon les priorités et de faire évoluer les indicateurs. Maintenir des missions obsolètes ou ne pas adapter les indicateurs rend le suivi rigide et peu motivant.</w:t>
      </w:r>
    </w:p>
    <w:p w:rsidR="0012682B" w:rsidRPr="0012682B" w:rsidRDefault="0012682B" w:rsidP="0012682B">
      <w:pPr>
        <w:numPr>
          <w:ilvl w:val="0"/>
          <w:numId w:val="42"/>
        </w:numPr>
        <w:spacing w:before="100" w:beforeAutospacing="1" w:after="100" w:afterAutospacing="1" w:line="240" w:lineRule="auto"/>
        <w:rPr>
          <w:rFonts w:ascii="Times New Roman" w:eastAsia="Times New Roman" w:hAnsi="Times New Roman" w:cs="Times New Roman"/>
          <w:sz w:val="24"/>
          <w:szCs w:val="24"/>
          <w:lang w:eastAsia="fr-FR"/>
        </w:rPr>
      </w:pPr>
      <w:r w:rsidRPr="0012682B">
        <w:rPr>
          <w:rFonts w:ascii="Times New Roman" w:eastAsia="Times New Roman" w:hAnsi="Times New Roman" w:cs="Times New Roman"/>
          <w:b/>
          <w:bCs/>
          <w:sz w:val="24"/>
          <w:szCs w:val="24"/>
          <w:lang w:eastAsia="fr-FR"/>
        </w:rPr>
        <w:t>Réponse correcte : A</w:t>
      </w:r>
      <w:r w:rsidRPr="0012682B">
        <w:rPr>
          <w:rFonts w:ascii="Times New Roman" w:eastAsia="Times New Roman" w:hAnsi="Times New Roman" w:cs="Times New Roman"/>
          <w:sz w:val="24"/>
          <w:szCs w:val="24"/>
          <w:lang w:eastAsia="fr-FR"/>
        </w:rPr>
        <w:t xml:space="preserve"> – La clarté, la transparence et la reconnaissance transforment le suivi en pilier managérial et de performance. Les autres propositions se concentrent sur le contrôle ou la quantité, sans renforcer la motivation ou l’engagement.</w:t>
      </w:r>
    </w:p>
    <w:p w:rsidR="00557177" w:rsidRPr="003C45D5" w:rsidRDefault="00557177" w:rsidP="003C45D5"/>
    <w:sectPr w:rsidR="00557177" w:rsidRPr="003C45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6F8B"/>
    <w:multiLevelType w:val="multilevel"/>
    <w:tmpl w:val="F0907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ED685B"/>
    <w:multiLevelType w:val="multilevel"/>
    <w:tmpl w:val="875444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210EDE"/>
    <w:multiLevelType w:val="multilevel"/>
    <w:tmpl w:val="11229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7C3A0B"/>
    <w:multiLevelType w:val="multilevel"/>
    <w:tmpl w:val="D304F03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4E6104"/>
    <w:multiLevelType w:val="multilevel"/>
    <w:tmpl w:val="42D43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035ADE"/>
    <w:multiLevelType w:val="multilevel"/>
    <w:tmpl w:val="87764D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B696DB2"/>
    <w:multiLevelType w:val="multilevel"/>
    <w:tmpl w:val="276CD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C553DAA"/>
    <w:multiLevelType w:val="multilevel"/>
    <w:tmpl w:val="A296D2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1B61A9E"/>
    <w:multiLevelType w:val="multilevel"/>
    <w:tmpl w:val="C85E6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CC23F5"/>
    <w:multiLevelType w:val="multilevel"/>
    <w:tmpl w:val="745ED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E113C4"/>
    <w:multiLevelType w:val="multilevel"/>
    <w:tmpl w:val="F59617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A513E89"/>
    <w:multiLevelType w:val="multilevel"/>
    <w:tmpl w:val="A17ECB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57C48C8"/>
    <w:multiLevelType w:val="multilevel"/>
    <w:tmpl w:val="BFCCA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E5601C"/>
    <w:multiLevelType w:val="multilevel"/>
    <w:tmpl w:val="AA0046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A5C3E8D"/>
    <w:multiLevelType w:val="multilevel"/>
    <w:tmpl w:val="F5EC13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B871A9E"/>
    <w:multiLevelType w:val="multilevel"/>
    <w:tmpl w:val="BBFC2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ED380A"/>
    <w:multiLevelType w:val="multilevel"/>
    <w:tmpl w:val="4BC098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57165F"/>
    <w:multiLevelType w:val="multilevel"/>
    <w:tmpl w:val="C8841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E7169D9"/>
    <w:multiLevelType w:val="multilevel"/>
    <w:tmpl w:val="FD6CD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EFA64F6"/>
    <w:multiLevelType w:val="multilevel"/>
    <w:tmpl w:val="F68886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247056C"/>
    <w:multiLevelType w:val="multilevel"/>
    <w:tmpl w:val="52F61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4BC4510"/>
    <w:multiLevelType w:val="multilevel"/>
    <w:tmpl w:val="62CA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4FD035B"/>
    <w:multiLevelType w:val="multilevel"/>
    <w:tmpl w:val="CC0EC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5937F5D"/>
    <w:multiLevelType w:val="multilevel"/>
    <w:tmpl w:val="E8C8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230AA2"/>
    <w:multiLevelType w:val="multilevel"/>
    <w:tmpl w:val="293C53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725384A"/>
    <w:multiLevelType w:val="multilevel"/>
    <w:tmpl w:val="3F5650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7AC0D48"/>
    <w:multiLevelType w:val="multilevel"/>
    <w:tmpl w:val="752EC35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E0F744B"/>
    <w:multiLevelType w:val="multilevel"/>
    <w:tmpl w:val="5600C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420535B"/>
    <w:multiLevelType w:val="multilevel"/>
    <w:tmpl w:val="2DC2CC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7CB09BB"/>
    <w:multiLevelType w:val="multilevel"/>
    <w:tmpl w:val="DA2EB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0726A78"/>
    <w:multiLevelType w:val="multilevel"/>
    <w:tmpl w:val="A8C284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78E390D"/>
    <w:multiLevelType w:val="multilevel"/>
    <w:tmpl w:val="AE044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973975"/>
    <w:multiLevelType w:val="multilevel"/>
    <w:tmpl w:val="0B08A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BC43340"/>
    <w:multiLevelType w:val="multilevel"/>
    <w:tmpl w:val="A9140A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8096225"/>
    <w:multiLevelType w:val="multilevel"/>
    <w:tmpl w:val="DC74E3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8282153"/>
    <w:multiLevelType w:val="multilevel"/>
    <w:tmpl w:val="46208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FAF4DE3"/>
    <w:multiLevelType w:val="multilevel"/>
    <w:tmpl w:val="98F0B4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2550690"/>
    <w:multiLevelType w:val="multilevel"/>
    <w:tmpl w:val="CBE25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427427C"/>
    <w:multiLevelType w:val="multilevel"/>
    <w:tmpl w:val="B9125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4681247"/>
    <w:multiLevelType w:val="multilevel"/>
    <w:tmpl w:val="DBD630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7D46241"/>
    <w:multiLevelType w:val="multilevel"/>
    <w:tmpl w:val="5D54E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80471F1"/>
    <w:multiLevelType w:val="multilevel"/>
    <w:tmpl w:val="DE089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1"/>
  </w:num>
  <w:num w:numId="2">
    <w:abstractNumId w:val="6"/>
  </w:num>
  <w:num w:numId="3">
    <w:abstractNumId w:val="12"/>
  </w:num>
  <w:num w:numId="4">
    <w:abstractNumId w:val="18"/>
  </w:num>
  <w:num w:numId="5">
    <w:abstractNumId w:val="22"/>
  </w:num>
  <w:num w:numId="6">
    <w:abstractNumId w:val="16"/>
  </w:num>
  <w:num w:numId="7">
    <w:abstractNumId w:val="17"/>
  </w:num>
  <w:num w:numId="8">
    <w:abstractNumId w:val="29"/>
  </w:num>
  <w:num w:numId="9">
    <w:abstractNumId w:val="27"/>
  </w:num>
  <w:num w:numId="10">
    <w:abstractNumId w:val="35"/>
  </w:num>
  <w:num w:numId="11">
    <w:abstractNumId w:val="21"/>
  </w:num>
  <w:num w:numId="12">
    <w:abstractNumId w:val="15"/>
  </w:num>
  <w:num w:numId="13">
    <w:abstractNumId w:val="20"/>
  </w:num>
  <w:num w:numId="14">
    <w:abstractNumId w:val="40"/>
  </w:num>
  <w:num w:numId="15">
    <w:abstractNumId w:val="8"/>
  </w:num>
  <w:num w:numId="16">
    <w:abstractNumId w:val="4"/>
  </w:num>
  <w:num w:numId="17">
    <w:abstractNumId w:val="0"/>
  </w:num>
  <w:num w:numId="18">
    <w:abstractNumId w:val="14"/>
  </w:num>
  <w:num w:numId="19">
    <w:abstractNumId w:val="2"/>
  </w:num>
  <w:num w:numId="20">
    <w:abstractNumId w:val="38"/>
  </w:num>
  <w:num w:numId="21">
    <w:abstractNumId w:val="23"/>
  </w:num>
  <w:num w:numId="22">
    <w:abstractNumId w:val="9"/>
  </w:num>
  <w:num w:numId="23">
    <w:abstractNumId w:val="37"/>
  </w:num>
  <w:num w:numId="24">
    <w:abstractNumId w:val="5"/>
  </w:num>
  <w:num w:numId="25">
    <w:abstractNumId w:val="24"/>
  </w:num>
  <w:num w:numId="26">
    <w:abstractNumId w:val="26"/>
  </w:num>
  <w:num w:numId="27">
    <w:abstractNumId w:val="25"/>
  </w:num>
  <w:num w:numId="28">
    <w:abstractNumId w:val="30"/>
  </w:num>
  <w:num w:numId="29">
    <w:abstractNumId w:val="19"/>
  </w:num>
  <w:num w:numId="30">
    <w:abstractNumId w:val="39"/>
  </w:num>
  <w:num w:numId="31">
    <w:abstractNumId w:val="32"/>
  </w:num>
  <w:num w:numId="32">
    <w:abstractNumId w:val="33"/>
  </w:num>
  <w:num w:numId="33">
    <w:abstractNumId w:val="11"/>
  </w:num>
  <w:num w:numId="34">
    <w:abstractNumId w:val="7"/>
  </w:num>
  <w:num w:numId="35">
    <w:abstractNumId w:val="36"/>
  </w:num>
  <w:num w:numId="36">
    <w:abstractNumId w:val="28"/>
  </w:num>
  <w:num w:numId="37">
    <w:abstractNumId w:val="10"/>
  </w:num>
  <w:num w:numId="38">
    <w:abstractNumId w:val="3"/>
  </w:num>
  <w:num w:numId="39">
    <w:abstractNumId w:val="41"/>
  </w:num>
  <w:num w:numId="40">
    <w:abstractNumId w:val="1"/>
  </w:num>
  <w:num w:numId="41">
    <w:abstractNumId w:val="13"/>
  </w:num>
  <w:num w:numId="4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F34"/>
    <w:rsid w:val="0012682B"/>
    <w:rsid w:val="00141BEE"/>
    <w:rsid w:val="00180079"/>
    <w:rsid w:val="00180257"/>
    <w:rsid w:val="0025714B"/>
    <w:rsid w:val="003C45D5"/>
    <w:rsid w:val="00557177"/>
    <w:rsid w:val="00580617"/>
    <w:rsid w:val="006244EE"/>
    <w:rsid w:val="007016D6"/>
    <w:rsid w:val="007C4BCB"/>
    <w:rsid w:val="00A81912"/>
    <w:rsid w:val="00B05667"/>
    <w:rsid w:val="00B755A2"/>
    <w:rsid w:val="00C10738"/>
    <w:rsid w:val="00C170D9"/>
    <w:rsid w:val="00EF43BF"/>
    <w:rsid w:val="00F16F34"/>
    <w:rsid w:val="00F27B4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AF651C-3B48-404A-8C38-82824D5E0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2">
    <w:name w:val="heading 2"/>
    <w:basedOn w:val="Normal"/>
    <w:next w:val="Normal"/>
    <w:link w:val="Titre2Car"/>
    <w:uiPriority w:val="9"/>
    <w:semiHidden/>
    <w:unhideWhenUsed/>
    <w:qFormat/>
    <w:rsid w:val="00F27B4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semiHidden/>
    <w:rsid w:val="00F27B49"/>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781810">
      <w:bodyDiv w:val="1"/>
      <w:marLeft w:val="0"/>
      <w:marRight w:val="0"/>
      <w:marTop w:val="0"/>
      <w:marBottom w:val="0"/>
      <w:divBdr>
        <w:top w:val="none" w:sz="0" w:space="0" w:color="auto"/>
        <w:left w:val="none" w:sz="0" w:space="0" w:color="auto"/>
        <w:bottom w:val="none" w:sz="0" w:space="0" w:color="auto"/>
        <w:right w:val="none" w:sz="0" w:space="0" w:color="auto"/>
      </w:divBdr>
      <w:divsChild>
        <w:div w:id="1797216295">
          <w:blockQuote w:val="1"/>
          <w:marLeft w:val="720"/>
          <w:marRight w:val="720"/>
          <w:marTop w:val="100"/>
          <w:marBottom w:val="100"/>
          <w:divBdr>
            <w:top w:val="none" w:sz="0" w:space="0" w:color="auto"/>
            <w:left w:val="none" w:sz="0" w:space="0" w:color="auto"/>
            <w:bottom w:val="none" w:sz="0" w:space="0" w:color="auto"/>
            <w:right w:val="none" w:sz="0" w:space="0" w:color="auto"/>
          </w:divBdr>
        </w:div>
        <w:div w:id="1123621571">
          <w:blockQuote w:val="1"/>
          <w:marLeft w:val="720"/>
          <w:marRight w:val="720"/>
          <w:marTop w:val="100"/>
          <w:marBottom w:val="100"/>
          <w:divBdr>
            <w:top w:val="none" w:sz="0" w:space="0" w:color="auto"/>
            <w:left w:val="none" w:sz="0" w:space="0" w:color="auto"/>
            <w:bottom w:val="none" w:sz="0" w:space="0" w:color="auto"/>
            <w:right w:val="none" w:sz="0" w:space="0" w:color="auto"/>
          </w:divBdr>
        </w:div>
        <w:div w:id="191312016">
          <w:blockQuote w:val="1"/>
          <w:marLeft w:val="720"/>
          <w:marRight w:val="720"/>
          <w:marTop w:val="100"/>
          <w:marBottom w:val="100"/>
          <w:divBdr>
            <w:top w:val="none" w:sz="0" w:space="0" w:color="auto"/>
            <w:left w:val="none" w:sz="0" w:space="0" w:color="auto"/>
            <w:bottom w:val="none" w:sz="0" w:space="0" w:color="auto"/>
            <w:right w:val="none" w:sz="0" w:space="0" w:color="auto"/>
          </w:divBdr>
        </w:div>
        <w:div w:id="214119439">
          <w:blockQuote w:val="1"/>
          <w:marLeft w:val="720"/>
          <w:marRight w:val="720"/>
          <w:marTop w:val="100"/>
          <w:marBottom w:val="100"/>
          <w:divBdr>
            <w:top w:val="none" w:sz="0" w:space="0" w:color="auto"/>
            <w:left w:val="none" w:sz="0" w:space="0" w:color="auto"/>
            <w:bottom w:val="none" w:sz="0" w:space="0" w:color="auto"/>
            <w:right w:val="none" w:sz="0" w:space="0" w:color="auto"/>
          </w:divBdr>
        </w:div>
        <w:div w:id="680164697">
          <w:blockQuote w:val="1"/>
          <w:marLeft w:val="720"/>
          <w:marRight w:val="720"/>
          <w:marTop w:val="100"/>
          <w:marBottom w:val="100"/>
          <w:divBdr>
            <w:top w:val="none" w:sz="0" w:space="0" w:color="auto"/>
            <w:left w:val="none" w:sz="0" w:space="0" w:color="auto"/>
            <w:bottom w:val="none" w:sz="0" w:space="0" w:color="auto"/>
            <w:right w:val="none" w:sz="0" w:space="0" w:color="auto"/>
          </w:divBdr>
        </w:div>
        <w:div w:id="16669369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68317957">
      <w:bodyDiv w:val="1"/>
      <w:marLeft w:val="0"/>
      <w:marRight w:val="0"/>
      <w:marTop w:val="0"/>
      <w:marBottom w:val="0"/>
      <w:divBdr>
        <w:top w:val="none" w:sz="0" w:space="0" w:color="auto"/>
        <w:left w:val="none" w:sz="0" w:space="0" w:color="auto"/>
        <w:bottom w:val="none" w:sz="0" w:space="0" w:color="auto"/>
        <w:right w:val="none" w:sz="0" w:space="0" w:color="auto"/>
      </w:divBdr>
      <w:divsChild>
        <w:div w:id="1263613663">
          <w:marLeft w:val="0"/>
          <w:marRight w:val="0"/>
          <w:marTop w:val="0"/>
          <w:marBottom w:val="0"/>
          <w:divBdr>
            <w:top w:val="none" w:sz="0" w:space="0" w:color="auto"/>
            <w:left w:val="none" w:sz="0" w:space="0" w:color="auto"/>
            <w:bottom w:val="none" w:sz="0" w:space="0" w:color="auto"/>
            <w:right w:val="none" w:sz="0" w:space="0" w:color="auto"/>
          </w:divBdr>
          <w:divsChild>
            <w:div w:id="210560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459161">
      <w:bodyDiv w:val="1"/>
      <w:marLeft w:val="0"/>
      <w:marRight w:val="0"/>
      <w:marTop w:val="0"/>
      <w:marBottom w:val="0"/>
      <w:divBdr>
        <w:top w:val="none" w:sz="0" w:space="0" w:color="auto"/>
        <w:left w:val="none" w:sz="0" w:space="0" w:color="auto"/>
        <w:bottom w:val="none" w:sz="0" w:space="0" w:color="auto"/>
        <w:right w:val="none" w:sz="0" w:space="0" w:color="auto"/>
      </w:divBdr>
    </w:div>
    <w:div w:id="395250496">
      <w:bodyDiv w:val="1"/>
      <w:marLeft w:val="0"/>
      <w:marRight w:val="0"/>
      <w:marTop w:val="0"/>
      <w:marBottom w:val="0"/>
      <w:divBdr>
        <w:top w:val="none" w:sz="0" w:space="0" w:color="auto"/>
        <w:left w:val="none" w:sz="0" w:space="0" w:color="auto"/>
        <w:bottom w:val="none" w:sz="0" w:space="0" w:color="auto"/>
        <w:right w:val="none" w:sz="0" w:space="0" w:color="auto"/>
      </w:divBdr>
    </w:div>
    <w:div w:id="426537298">
      <w:bodyDiv w:val="1"/>
      <w:marLeft w:val="0"/>
      <w:marRight w:val="0"/>
      <w:marTop w:val="0"/>
      <w:marBottom w:val="0"/>
      <w:divBdr>
        <w:top w:val="none" w:sz="0" w:space="0" w:color="auto"/>
        <w:left w:val="none" w:sz="0" w:space="0" w:color="auto"/>
        <w:bottom w:val="none" w:sz="0" w:space="0" w:color="auto"/>
        <w:right w:val="none" w:sz="0" w:space="0" w:color="auto"/>
      </w:divBdr>
      <w:divsChild>
        <w:div w:id="2125690711">
          <w:blockQuote w:val="1"/>
          <w:marLeft w:val="720"/>
          <w:marRight w:val="720"/>
          <w:marTop w:val="100"/>
          <w:marBottom w:val="100"/>
          <w:divBdr>
            <w:top w:val="none" w:sz="0" w:space="0" w:color="auto"/>
            <w:left w:val="none" w:sz="0" w:space="0" w:color="auto"/>
            <w:bottom w:val="none" w:sz="0" w:space="0" w:color="auto"/>
            <w:right w:val="none" w:sz="0" w:space="0" w:color="auto"/>
          </w:divBdr>
        </w:div>
        <w:div w:id="1806198464">
          <w:blockQuote w:val="1"/>
          <w:marLeft w:val="720"/>
          <w:marRight w:val="720"/>
          <w:marTop w:val="100"/>
          <w:marBottom w:val="100"/>
          <w:divBdr>
            <w:top w:val="none" w:sz="0" w:space="0" w:color="auto"/>
            <w:left w:val="none" w:sz="0" w:space="0" w:color="auto"/>
            <w:bottom w:val="none" w:sz="0" w:space="0" w:color="auto"/>
            <w:right w:val="none" w:sz="0" w:space="0" w:color="auto"/>
          </w:divBdr>
        </w:div>
        <w:div w:id="953097779">
          <w:blockQuote w:val="1"/>
          <w:marLeft w:val="720"/>
          <w:marRight w:val="720"/>
          <w:marTop w:val="100"/>
          <w:marBottom w:val="100"/>
          <w:divBdr>
            <w:top w:val="none" w:sz="0" w:space="0" w:color="auto"/>
            <w:left w:val="none" w:sz="0" w:space="0" w:color="auto"/>
            <w:bottom w:val="none" w:sz="0" w:space="0" w:color="auto"/>
            <w:right w:val="none" w:sz="0" w:space="0" w:color="auto"/>
          </w:divBdr>
        </w:div>
        <w:div w:id="183060981">
          <w:blockQuote w:val="1"/>
          <w:marLeft w:val="720"/>
          <w:marRight w:val="720"/>
          <w:marTop w:val="100"/>
          <w:marBottom w:val="100"/>
          <w:divBdr>
            <w:top w:val="none" w:sz="0" w:space="0" w:color="auto"/>
            <w:left w:val="none" w:sz="0" w:space="0" w:color="auto"/>
            <w:bottom w:val="none" w:sz="0" w:space="0" w:color="auto"/>
            <w:right w:val="none" w:sz="0" w:space="0" w:color="auto"/>
          </w:divBdr>
        </w:div>
        <w:div w:id="1261914751">
          <w:blockQuote w:val="1"/>
          <w:marLeft w:val="720"/>
          <w:marRight w:val="720"/>
          <w:marTop w:val="100"/>
          <w:marBottom w:val="100"/>
          <w:divBdr>
            <w:top w:val="none" w:sz="0" w:space="0" w:color="auto"/>
            <w:left w:val="none" w:sz="0" w:space="0" w:color="auto"/>
            <w:bottom w:val="none" w:sz="0" w:space="0" w:color="auto"/>
            <w:right w:val="none" w:sz="0" w:space="0" w:color="auto"/>
          </w:divBdr>
        </w:div>
        <w:div w:id="21277708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06292674">
      <w:bodyDiv w:val="1"/>
      <w:marLeft w:val="0"/>
      <w:marRight w:val="0"/>
      <w:marTop w:val="0"/>
      <w:marBottom w:val="0"/>
      <w:divBdr>
        <w:top w:val="none" w:sz="0" w:space="0" w:color="auto"/>
        <w:left w:val="none" w:sz="0" w:space="0" w:color="auto"/>
        <w:bottom w:val="none" w:sz="0" w:space="0" w:color="auto"/>
        <w:right w:val="none" w:sz="0" w:space="0" w:color="auto"/>
      </w:divBdr>
      <w:divsChild>
        <w:div w:id="2108229569">
          <w:blockQuote w:val="1"/>
          <w:marLeft w:val="720"/>
          <w:marRight w:val="720"/>
          <w:marTop w:val="100"/>
          <w:marBottom w:val="100"/>
          <w:divBdr>
            <w:top w:val="none" w:sz="0" w:space="0" w:color="auto"/>
            <w:left w:val="none" w:sz="0" w:space="0" w:color="auto"/>
            <w:bottom w:val="none" w:sz="0" w:space="0" w:color="auto"/>
            <w:right w:val="none" w:sz="0" w:space="0" w:color="auto"/>
          </w:divBdr>
        </w:div>
        <w:div w:id="645889825">
          <w:blockQuote w:val="1"/>
          <w:marLeft w:val="720"/>
          <w:marRight w:val="720"/>
          <w:marTop w:val="100"/>
          <w:marBottom w:val="100"/>
          <w:divBdr>
            <w:top w:val="none" w:sz="0" w:space="0" w:color="auto"/>
            <w:left w:val="none" w:sz="0" w:space="0" w:color="auto"/>
            <w:bottom w:val="none" w:sz="0" w:space="0" w:color="auto"/>
            <w:right w:val="none" w:sz="0" w:space="0" w:color="auto"/>
          </w:divBdr>
        </w:div>
        <w:div w:id="889413606">
          <w:blockQuote w:val="1"/>
          <w:marLeft w:val="720"/>
          <w:marRight w:val="720"/>
          <w:marTop w:val="100"/>
          <w:marBottom w:val="100"/>
          <w:divBdr>
            <w:top w:val="none" w:sz="0" w:space="0" w:color="auto"/>
            <w:left w:val="none" w:sz="0" w:space="0" w:color="auto"/>
            <w:bottom w:val="none" w:sz="0" w:space="0" w:color="auto"/>
            <w:right w:val="none" w:sz="0" w:space="0" w:color="auto"/>
          </w:divBdr>
        </w:div>
        <w:div w:id="309141624">
          <w:blockQuote w:val="1"/>
          <w:marLeft w:val="720"/>
          <w:marRight w:val="720"/>
          <w:marTop w:val="100"/>
          <w:marBottom w:val="100"/>
          <w:divBdr>
            <w:top w:val="none" w:sz="0" w:space="0" w:color="auto"/>
            <w:left w:val="none" w:sz="0" w:space="0" w:color="auto"/>
            <w:bottom w:val="none" w:sz="0" w:space="0" w:color="auto"/>
            <w:right w:val="none" w:sz="0" w:space="0" w:color="auto"/>
          </w:divBdr>
        </w:div>
        <w:div w:id="1075392815">
          <w:blockQuote w:val="1"/>
          <w:marLeft w:val="720"/>
          <w:marRight w:val="720"/>
          <w:marTop w:val="100"/>
          <w:marBottom w:val="100"/>
          <w:divBdr>
            <w:top w:val="none" w:sz="0" w:space="0" w:color="auto"/>
            <w:left w:val="none" w:sz="0" w:space="0" w:color="auto"/>
            <w:bottom w:val="none" w:sz="0" w:space="0" w:color="auto"/>
            <w:right w:val="none" w:sz="0" w:space="0" w:color="auto"/>
          </w:divBdr>
        </w:div>
        <w:div w:id="17976747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91621917">
      <w:bodyDiv w:val="1"/>
      <w:marLeft w:val="0"/>
      <w:marRight w:val="0"/>
      <w:marTop w:val="0"/>
      <w:marBottom w:val="0"/>
      <w:divBdr>
        <w:top w:val="none" w:sz="0" w:space="0" w:color="auto"/>
        <w:left w:val="none" w:sz="0" w:space="0" w:color="auto"/>
        <w:bottom w:val="none" w:sz="0" w:space="0" w:color="auto"/>
        <w:right w:val="none" w:sz="0" w:space="0" w:color="auto"/>
      </w:divBdr>
    </w:div>
    <w:div w:id="698820022">
      <w:bodyDiv w:val="1"/>
      <w:marLeft w:val="0"/>
      <w:marRight w:val="0"/>
      <w:marTop w:val="0"/>
      <w:marBottom w:val="0"/>
      <w:divBdr>
        <w:top w:val="none" w:sz="0" w:space="0" w:color="auto"/>
        <w:left w:val="none" w:sz="0" w:space="0" w:color="auto"/>
        <w:bottom w:val="none" w:sz="0" w:space="0" w:color="auto"/>
        <w:right w:val="none" w:sz="0" w:space="0" w:color="auto"/>
      </w:divBdr>
      <w:divsChild>
        <w:div w:id="1929344072">
          <w:marLeft w:val="0"/>
          <w:marRight w:val="0"/>
          <w:marTop w:val="0"/>
          <w:marBottom w:val="0"/>
          <w:divBdr>
            <w:top w:val="none" w:sz="0" w:space="0" w:color="auto"/>
            <w:left w:val="none" w:sz="0" w:space="0" w:color="auto"/>
            <w:bottom w:val="none" w:sz="0" w:space="0" w:color="auto"/>
            <w:right w:val="none" w:sz="0" w:space="0" w:color="auto"/>
          </w:divBdr>
          <w:divsChild>
            <w:div w:id="2125804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733328">
      <w:bodyDiv w:val="1"/>
      <w:marLeft w:val="0"/>
      <w:marRight w:val="0"/>
      <w:marTop w:val="0"/>
      <w:marBottom w:val="0"/>
      <w:divBdr>
        <w:top w:val="none" w:sz="0" w:space="0" w:color="auto"/>
        <w:left w:val="none" w:sz="0" w:space="0" w:color="auto"/>
        <w:bottom w:val="none" w:sz="0" w:space="0" w:color="auto"/>
        <w:right w:val="none" w:sz="0" w:space="0" w:color="auto"/>
      </w:divBdr>
    </w:div>
    <w:div w:id="960842042">
      <w:bodyDiv w:val="1"/>
      <w:marLeft w:val="0"/>
      <w:marRight w:val="0"/>
      <w:marTop w:val="0"/>
      <w:marBottom w:val="0"/>
      <w:divBdr>
        <w:top w:val="none" w:sz="0" w:space="0" w:color="auto"/>
        <w:left w:val="none" w:sz="0" w:space="0" w:color="auto"/>
        <w:bottom w:val="none" w:sz="0" w:space="0" w:color="auto"/>
        <w:right w:val="none" w:sz="0" w:space="0" w:color="auto"/>
      </w:divBdr>
    </w:div>
    <w:div w:id="979310477">
      <w:bodyDiv w:val="1"/>
      <w:marLeft w:val="0"/>
      <w:marRight w:val="0"/>
      <w:marTop w:val="0"/>
      <w:marBottom w:val="0"/>
      <w:divBdr>
        <w:top w:val="none" w:sz="0" w:space="0" w:color="auto"/>
        <w:left w:val="none" w:sz="0" w:space="0" w:color="auto"/>
        <w:bottom w:val="none" w:sz="0" w:space="0" w:color="auto"/>
        <w:right w:val="none" w:sz="0" w:space="0" w:color="auto"/>
      </w:divBdr>
    </w:div>
    <w:div w:id="1016007071">
      <w:bodyDiv w:val="1"/>
      <w:marLeft w:val="0"/>
      <w:marRight w:val="0"/>
      <w:marTop w:val="0"/>
      <w:marBottom w:val="0"/>
      <w:divBdr>
        <w:top w:val="none" w:sz="0" w:space="0" w:color="auto"/>
        <w:left w:val="none" w:sz="0" w:space="0" w:color="auto"/>
        <w:bottom w:val="none" w:sz="0" w:space="0" w:color="auto"/>
        <w:right w:val="none" w:sz="0" w:space="0" w:color="auto"/>
      </w:divBdr>
      <w:divsChild>
        <w:div w:id="1941838591">
          <w:marLeft w:val="0"/>
          <w:marRight w:val="0"/>
          <w:marTop w:val="0"/>
          <w:marBottom w:val="0"/>
          <w:divBdr>
            <w:top w:val="none" w:sz="0" w:space="0" w:color="auto"/>
            <w:left w:val="none" w:sz="0" w:space="0" w:color="auto"/>
            <w:bottom w:val="none" w:sz="0" w:space="0" w:color="auto"/>
            <w:right w:val="none" w:sz="0" w:space="0" w:color="auto"/>
          </w:divBdr>
          <w:divsChild>
            <w:div w:id="1393311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026823">
      <w:bodyDiv w:val="1"/>
      <w:marLeft w:val="0"/>
      <w:marRight w:val="0"/>
      <w:marTop w:val="0"/>
      <w:marBottom w:val="0"/>
      <w:divBdr>
        <w:top w:val="none" w:sz="0" w:space="0" w:color="auto"/>
        <w:left w:val="none" w:sz="0" w:space="0" w:color="auto"/>
        <w:bottom w:val="none" w:sz="0" w:space="0" w:color="auto"/>
        <w:right w:val="none" w:sz="0" w:space="0" w:color="auto"/>
      </w:divBdr>
      <w:divsChild>
        <w:div w:id="641010281">
          <w:blockQuote w:val="1"/>
          <w:marLeft w:val="720"/>
          <w:marRight w:val="720"/>
          <w:marTop w:val="100"/>
          <w:marBottom w:val="100"/>
          <w:divBdr>
            <w:top w:val="none" w:sz="0" w:space="0" w:color="auto"/>
            <w:left w:val="none" w:sz="0" w:space="0" w:color="auto"/>
            <w:bottom w:val="none" w:sz="0" w:space="0" w:color="auto"/>
            <w:right w:val="none" w:sz="0" w:space="0" w:color="auto"/>
          </w:divBdr>
        </w:div>
        <w:div w:id="169292920">
          <w:blockQuote w:val="1"/>
          <w:marLeft w:val="720"/>
          <w:marRight w:val="720"/>
          <w:marTop w:val="100"/>
          <w:marBottom w:val="100"/>
          <w:divBdr>
            <w:top w:val="none" w:sz="0" w:space="0" w:color="auto"/>
            <w:left w:val="none" w:sz="0" w:space="0" w:color="auto"/>
            <w:bottom w:val="none" w:sz="0" w:space="0" w:color="auto"/>
            <w:right w:val="none" w:sz="0" w:space="0" w:color="auto"/>
          </w:divBdr>
        </w:div>
        <w:div w:id="767237707">
          <w:blockQuote w:val="1"/>
          <w:marLeft w:val="720"/>
          <w:marRight w:val="720"/>
          <w:marTop w:val="100"/>
          <w:marBottom w:val="100"/>
          <w:divBdr>
            <w:top w:val="none" w:sz="0" w:space="0" w:color="auto"/>
            <w:left w:val="none" w:sz="0" w:space="0" w:color="auto"/>
            <w:bottom w:val="none" w:sz="0" w:space="0" w:color="auto"/>
            <w:right w:val="none" w:sz="0" w:space="0" w:color="auto"/>
          </w:divBdr>
        </w:div>
        <w:div w:id="977955812">
          <w:blockQuote w:val="1"/>
          <w:marLeft w:val="720"/>
          <w:marRight w:val="720"/>
          <w:marTop w:val="100"/>
          <w:marBottom w:val="100"/>
          <w:divBdr>
            <w:top w:val="none" w:sz="0" w:space="0" w:color="auto"/>
            <w:left w:val="none" w:sz="0" w:space="0" w:color="auto"/>
            <w:bottom w:val="none" w:sz="0" w:space="0" w:color="auto"/>
            <w:right w:val="none" w:sz="0" w:space="0" w:color="auto"/>
          </w:divBdr>
        </w:div>
        <w:div w:id="738601896">
          <w:blockQuote w:val="1"/>
          <w:marLeft w:val="720"/>
          <w:marRight w:val="720"/>
          <w:marTop w:val="100"/>
          <w:marBottom w:val="100"/>
          <w:divBdr>
            <w:top w:val="none" w:sz="0" w:space="0" w:color="auto"/>
            <w:left w:val="none" w:sz="0" w:space="0" w:color="auto"/>
            <w:bottom w:val="none" w:sz="0" w:space="0" w:color="auto"/>
            <w:right w:val="none" w:sz="0" w:space="0" w:color="auto"/>
          </w:divBdr>
        </w:div>
        <w:div w:id="16837001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0417613">
      <w:bodyDiv w:val="1"/>
      <w:marLeft w:val="0"/>
      <w:marRight w:val="0"/>
      <w:marTop w:val="0"/>
      <w:marBottom w:val="0"/>
      <w:divBdr>
        <w:top w:val="none" w:sz="0" w:space="0" w:color="auto"/>
        <w:left w:val="none" w:sz="0" w:space="0" w:color="auto"/>
        <w:bottom w:val="none" w:sz="0" w:space="0" w:color="auto"/>
        <w:right w:val="none" w:sz="0" w:space="0" w:color="auto"/>
      </w:divBdr>
      <w:divsChild>
        <w:div w:id="406922219">
          <w:marLeft w:val="0"/>
          <w:marRight w:val="0"/>
          <w:marTop w:val="0"/>
          <w:marBottom w:val="0"/>
          <w:divBdr>
            <w:top w:val="none" w:sz="0" w:space="0" w:color="auto"/>
            <w:left w:val="none" w:sz="0" w:space="0" w:color="auto"/>
            <w:bottom w:val="none" w:sz="0" w:space="0" w:color="auto"/>
            <w:right w:val="none" w:sz="0" w:space="0" w:color="auto"/>
          </w:divBdr>
          <w:divsChild>
            <w:div w:id="989359706">
              <w:marLeft w:val="0"/>
              <w:marRight w:val="0"/>
              <w:marTop w:val="0"/>
              <w:marBottom w:val="0"/>
              <w:divBdr>
                <w:top w:val="none" w:sz="0" w:space="0" w:color="auto"/>
                <w:left w:val="none" w:sz="0" w:space="0" w:color="auto"/>
                <w:bottom w:val="none" w:sz="0" w:space="0" w:color="auto"/>
                <w:right w:val="none" w:sz="0" w:space="0" w:color="auto"/>
              </w:divBdr>
            </w:div>
          </w:divsChild>
        </w:div>
        <w:div w:id="19889712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68359472">
      <w:bodyDiv w:val="1"/>
      <w:marLeft w:val="0"/>
      <w:marRight w:val="0"/>
      <w:marTop w:val="0"/>
      <w:marBottom w:val="0"/>
      <w:divBdr>
        <w:top w:val="none" w:sz="0" w:space="0" w:color="auto"/>
        <w:left w:val="none" w:sz="0" w:space="0" w:color="auto"/>
        <w:bottom w:val="none" w:sz="0" w:space="0" w:color="auto"/>
        <w:right w:val="none" w:sz="0" w:space="0" w:color="auto"/>
      </w:divBdr>
      <w:divsChild>
        <w:div w:id="444276216">
          <w:blockQuote w:val="1"/>
          <w:marLeft w:val="720"/>
          <w:marRight w:val="720"/>
          <w:marTop w:val="100"/>
          <w:marBottom w:val="100"/>
          <w:divBdr>
            <w:top w:val="none" w:sz="0" w:space="0" w:color="auto"/>
            <w:left w:val="none" w:sz="0" w:space="0" w:color="auto"/>
            <w:bottom w:val="none" w:sz="0" w:space="0" w:color="auto"/>
            <w:right w:val="none" w:sz="0" w:space="0" w:color="auto"/>
          </w:divBdr>
        </w:div>
        <w:div w:id="1066145411">
          <w:blockQuote w:val="1"/>
          <w:marLeft w:val="720"/>
          <w:marRight w:val="720"/>
          <w:marTop w:val="100"/>
          <w:marBottom w:val="100"/>
          <w:divBdr>
            <w:top w:val="none" w:sz="0" w:space="0" w:color="auto"/>
            <w:left w:val="none" w:sz="0" w:space="0" w:color="auto"/>
            <w:bottom w:val="none" w:sz="0" w:space="0" w:color="auto"/>
            <w:right w:val="none" w:sz="0" w:space="0" w:color="auto"/>
          </w:divBdr>
        </w:div>
        <w:div w:id="1829898946">
          <w:blockQuote w:val="1"/>
          <w:marLeft w:val="720"/>
          <w:marRight w:val="720"/>
          <w:marTop w:val="100"/>
          <w:marBottom w:val="100"/>
          <w:divBdr>
            <w:top w:val="none" w:sz="0" w:space="0" w:color="auto"/>
            <w:left w:val="none" w:sz="0" w:space="0" w:color="auto"/>
            <w:bottom w:val="none" w:sz="0" w:space="0" w:color="auto"/>
            <w:right w:val="none" w:sz="0" w:space="0" w:color="auto"/>
          </w:divBdr>
        </w:div>
        <w:div w:id="985160226">
          <w:blockQuote w:val="1"/>
          <w:marLeft w:val="720"/>
          <w:marRight w:val="720"/>
          <w:marTop w:val="100"/>
          <w:marBottom w:val="100"/>
          <w:divBdr>
            <w:top w:val="none" w:sz="0" w:space="0" w:color="auto"/>
            <w:left w:val="none" w:sz="0" w:space="0" w:color="auto"/>
            <w:bottom w:val="none" w:sz="0" w:space="0" w:color="auto"/>
            <w:right w:val="none" w:sz="0" w:space="0" w:color="auto"/>
          </w:divBdr>
        </w:div>
        <w:div w:id="1578589164">
          <w:blockQuote w:val="1"/>
          <w:marLeft w:val="720"/>
          <w:marRight w:val="720"/>
          <w:marTop w:val="100"/>
          <w:marBottom w:val="100"/>
          <w:divBdr>
            <w:top w:val="none" w:sz="0" w:space="0" w:color="auto"/>
            <w:left w:val="none" w:sz="0" w:space="0" w:color="auto"/>
            <w:bottom w:val="none" w:sz="0" w:space="0" w:color="auto"/>
            <w:right w:val="none" w:sz="0" w:space="0" w:color="auto"/>
          </w:divBdr>
        </w:div>
        <w:div w:id="5187835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2099149">
      <w:bodyDiv w:val="1"/>
      <w:marLeft w:val="0"/>
      <w:marRight w:val="0"/>
      <w:marTop w:val="0"/>
      <w:marBottom w:val="0"/>
      <w:divBdr>
        <w:top w:val="none" w:sz="0" w:space="0" w:color="auto"/>
        <w:left w:val="none" w:sz="0" w:space="0" w:color="auto"/>
        <w:bottom w:val="none" w:sz="0" w:space="0" w:color="auto"/>
        <w:right w:val="none" w:sz="0" w:space="0" w:color="auto"/>
      </w:divBdr>
      <w:divsChild>
        <w:div w:id="1486506128">
          <w:marLeft w:val="0"/>
          <w:marRight w:val="0"/>
          <w:marTop w:val="0"/>
          <w:marBottom w:val="0"/>
          <w:divBdr>
            <w:top w:val="none" w:sz="0" w:space="0" w:color="auto"/>
            <w:left w:val="none" w:sz="0" w:space="0" w:color="auto"/>
            <w:bottom w:val="none" w:sz="0" w:space="0" w:color="auto"/>
            <w:right w:val="none" w:sz="0" w:space="0" w:color="auto"/>
          </w:divBdr>
          <w:divsChild>
            <w:div w:id="40083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190397">
      <w:bodyDiv w:val="1"/>
      <w:marLeft w:val="0"/>
      <w:marRight w:val="0"/>
      <w:marTop w:val="0"/>
      <w:marBottom w:val="0"/>
      <w:divBdr>
        <w:top w:val="none" w:sz="0" w:space="0" w:color="auto"/>
        <w:left w:val="none" w:sz="0" w:space="0" w:color="auto"/>
        <w:bottom w:val="none" w:sz="0" w:space="0" w:color="auto"/>
        <w:right w:val="none" w:sz="0" w:space="0" w:color="auto"/>
      </w:divBdr>
      <w:divsChild>
        <w:div w:id="1827165916">
          <w:blockQuote w:val="1"/>
          <w:marLeft w:val="720"/>
          <w:marRight w:val="720"/>
          <w:marTop w:val="100"/>
          <w:marBottom w:val="100"/>
          <w:divBdr>
            <w:top w:val="none" w:sz="0" w:space="0" w:color="auto"/>
            <w:left w:val="none" w:sz="0" w:space="0" w:color="auto"/>
            <w:bottom w:val="none" w:sz="0" w:space="0" w:color="auto"/>
            <w:right w:val="none" w:sz="0" w:space="0" w:color="auto"/>
          </w:divBdr>
        </w:div>
        <w:div w:id="580532481">
          <w:marLeft w:val="0"/>
          <w:marRight w:val="0"/>
          <w:marTop w:val="0"/>
          <w:marBottom w:val="0"/>
          <w:divBdr>
            <w:top w:val="none" w:sz="0" w:space="0" w:color="auto"/>
            <w:left w:val="none" w:sz="0" w:space="0" w:color="auto"/>
            <w:bottom w:val="none" w:sz="0" w:space="0" w:color="auto"/>
            <w:right w:val="none" w:sz="0" w:space="0" w:color="auto"/>
          </w:divBdr>
          <w:divsChild>
            <w:div w:id="2006007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469</Words>
  <Characters>2580</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pharmacie</Company>
  <LinksUpToDate>false</LinksUpToDate>
  <CharactersWithSpaces>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pharmacie</dc:creator>
  <cp:keywords/>
  <dc:description/>
  <cp:lastModifiedBy>pharmacie</cp:lastModifiedBy>
  <cp:revision>2</cp:revision>
  <dcterms:created xsi:type="dcterms:W3CDTF">2025-10-15T15:47:00Z</dcterms:created>
  <dcterms:modified xsi:type="dcterms:W3CDTF">2025-10-15T15:47:00Z</dcterms:modified>
</cp:coreProperties>
</file>